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A104D" w14:textId="77777777" w:rsidR="00B30CD7" w:rsidRDefault="00B30CD7">
      <w:pPr>
        <w:pStyle w:val="Body"/>
        <w:spacing w:line="480" w:lineRule="auto"/>
        <w:jc w:val="center"/>
        <w:rPr>
          <w:b/>
          <w:bCs/>
        </w:rPr>
      </w:pPr>
    </w:p>
    <w:p w14:paraId="00903A1C" w14:textId="77777777" w:rsidR="00B30CD7" w:rsidRDefault="00B30CD7">
      <w:pPr>
        <w:pStyle w:val="Body"/>
        <w:spacing w:line="480" w:lineRule="auto"/>
        <w:jc w:val="center"/>
        <w:rPr>
          <w:b/>
          <w:bCs/>
        </w:rPr>
      </w:pPr>
    </w:p>
    <w:p w14:paraId="3811F95F" w14:textId="77777777" w:rsidR="00B30CD7" w:rsidRDefault="00B30CD7">
      <w:pPr>
        <w:pStyle w:val="Body"/>
        <w:spacing w:line="480" w:lineRule="auto"/>
        <w:jc w:val="center"/>
        <w:rPr>
          <w:b/>
          <w:bCs/>
        </w:rPr>
      </w:pPr>
    </w:p>
    <w:p w14:paraId="24988A01" w14:textId="77777777" w:rsidR="00B30CD7" w:rsidRDefault="00B30CD7">
      <w:pPr>
        <w:pStyle w:val="Body"/>
        <w:spacing w:line="480" w:lineRule="auto"/>
        <w:jc w:val="center"/>
        <w:rPr>
          <w:b/>
          <w:bCs/>
        </w:rPr>
      </w:pPr>
    </w:p>
    <w:p w14:paraId="0AF31B2A" w14:textId="77777777" w:rsidR="00B30CD7" w:rsidRDefault="00B30CD7">
      <w:pPr>
        <w:pStyle w:val="Body"/>
        <w:spacing w:line="480" w:lineRule="auto"/>
        <w:jc w:val="center"/>
        <w:rPr>
          <w:b/>
          <w:bCs/>
        </w:rPr>
      </w:pPr>
    </w:p>
    <w:p w14:paraId="2B65C2B8" w14:textId="77777777" w:rsidR="00B30CD7" w:rsidRDefault="00B30CD7">
      <w:pPr>
        <w:pStyle w:val="Body"/>
        <w:spacing w:line="480" w:lineRule="auto"/>
        <w:jc w:val="center"/>
        <w:rPr>
          <w:b/>
          <w:bCs/>
        </w:rPr>
      </w:pPr>
    </w:p>
    <w:p w14:paraId="79EBE9FA" w14:textId="77777777" w:rsidR="00B30CD7" w:rsidRDefault="00B30CD7">
      <w:pPr>
        <w:pStyle w:val="Body"/>
        <w:spacing w:line="480" w:lineRule="auto"/>
        <w:jc w:val="center"/>
        <w:rPr>
          <w:b/>
          <w:bCs/>
        </w:rPr>
      </w:pPr>
    </w:p>
    <w:p w14:paraId="6A7C138E" w14:textId="77777777" w:rsidR="00B30CD7" w:rsidRDefault="00B30CD7">
      <w:pPr>
        <w:pStyle w:val="Body"/>
        <w:spacing w:line="480" w:lineRule="auto"/>
        <w:jc w:val="center"/>
        <w:rPr>
          <w:b/>
          <w:bCs/>
        </w:rPr>
      </w:pPr>
    </w:p>
    <w:p w14:paraId="3507129E" w14:textId="77777777" w:rsidR="00B30CD7" w:rsidRDefault="00B30CD7">
      <w:pPr>
        <w:pStyle w:val="Body"/>
        <w:spacing w:line="480" w:lineRule="auto"/>
        <w:jc w:val="center"/>
        <w:rPr>
          <w:b/>
          <w:bCs/>
        </w:rPr>
      </w:pPr>
    </w:p>
    <w:p w14:paraId="6B61FDAE" w14:textId="77777777" w:rsidR="00B30CD7" w:rsidRDefault="00D0362E">
      <w:pPr>
        <w:pStyle w:val="Body"/>
        <w:spacing w:line="480" w:lineRule="auto"/>
        <w:jc w:val="center"/>
      </w:pPr>
      <w:r>
        <w:t>Bereavement Across the Lifespan</w:t>
      </w:r>
    </w:p>
    <w:p w14:paraId="294DE496" w14:textId="77777777" w:rsidR="00B30CD7" w:rsidRDefault="00D0362E">
      <w:pPr>
        <w:pStyle w:val="Body"/>
        <w:spacing w:line="480" w:lineRule="auto"/>
        <w:jc w:val="center"/>
      </w:pPr>
      <w:r>
        <w:t>Dan Klaasse</w:t>
      </w:r>
    </w:p>
    <w:p w14:paraId="2C472962" w14:textId="77777777" w:rsidR="00B30CD7" w:rsidRDefault="00D0362E">
      <w:pPr>
        <w:pStyle w:val="Body"/>
        <w:spacing w:line="480" w:lineRule="auto"/>
        <w:jc w:val="center"/>
      </w:pPr>
      <w:r>
        <w:t>Grand Canyon University</w:t>
      </w:r>
    </w:p>
    <w:p w14:paraId="410B54BE" w14:textId="77777777" w:rsidR="00B30CD7" w:rsidRDefault="00D0362E">
      <w:pPr>
        <w:pStyle w:val="Body"/>
        <w:spacing w:line="480" w:lineRule="auto"/>
        <w:jc w:val="center"/>
        <w:sectPr w:rsidR="00B30CD7">
          <w:headerReference w:type="default" r:id="rId9"/>
          <w:footerReference w:type="default" r:id="rId10"/>
          <w:pgSz w:w="12240" w:h="15840"/>
          <w:pgMar w:top="1440" w:right="1440" w:bottom="1440" w:left="1440" w:header="720" w:footer="720" w:gutter="0"/>
          <w:cols w:space="720"/>
          <w:formProt w:val="0"/>
          <w:docGrid w:linePitch="100"/>
        </w:sectPr>
      </w:pPr>
      <w:r>
        <w:t>CNL-518</w:t>
      </w:r>
    </w:p>
    <w:p w14:paraId="6ABEC314" w14:textId="77777777" w:rsidR="00B30CD7" w:rsidRDefault="00B30CD7">
      <w:pPr>
        <w:pStyle w:val="Body"/>
        <w:rPr>
          <w:b/>
          <w:bCs/>
        </w:rPr>
      </w:pPr>
    </w:p>
    <w:p w14:paraId="334ED01A" w14:textId="77777777" w:rsidR="00B30CD7" w:rsidRDefault="00D0362E">
      <w:pPr>
        <w:pStyle w:val="Body"/>
        <w:jc w:val="center"/>
        <w:rPr>
          <w:b/>
          <w:bCs/>
          <w:sz w:val="32"/>
          <w:szCs w:val="32"/>
        </w:rPr>
      </w:pPr>
      <w:r>
        <w:rPr>
          <w:b/>
          <w:bCs/>
          <w:sz w:val="32"/>
          <w:szCs w:val="32"/>
          <w:lang w:val="en-US"/>
        </w:rPr>
        <w:t>CNL-518 Topic 8: Bereavement Across the Life Span</w:t>
      </w:r>
    </w:p>
    <w:p w14:paraId="71923641" w14:textId="77777777" w:rsidR="00B30CD7" w:rsidRDefault="00D0362E">
      <w:pPr>
        <w:pStyle w:val="Body"/>
        <w:spacing w:before="100" w:after="100" w:line="240" w:lineRule="auto"/>
        <w:rPr>
          <w:lang w:val="en-US"/>
        </w:rPr>
      </w:pPr>
      <w:proofErr w:type="gramStart"/>
      <w:r>
        <w:rPr>
          <w:b/>
          <w:bCs/>
          <w:lang w:val="fr-FR"/>
        </w:rPr>
        <w:t>Directions:</w:t>
      </w:r>
      <w:proofErr w:type="gramEnd"/>
      <w:r>
        <w:rPr>
          <w:b/>
          <w:bCs/>
          <w:lang w:val="fr-FR"/>
        </w:rPr>
        <w:t xml:space="preserve"> </w:t>
      </w:r>
      <w:r>
        <w:rPr>
          <w:lang w:val="en-US"/>
        </w:rPr>
        <w:t>One's understanding of death and the bereavement process changes over the life span. Using the matrix provided below, summarize how individuals understand the various stages of life, death, and how each might grieve the loss of a loved one. Create a short vignette for each age group that expresses your understanding of the age group's response to death and bereavement. Finally, hypothesize how a clinical mental health or school counselor might counsel each age group through the bereavement process. The firs</w:t>
      </w:r>
      <w:r>
        <w:rPr>
          <w:lang w:val="en-US"/>
        </w:rPr>
        <w:t xml:space="preserve">t stage has been completed for you as an example. Include in-text citations in the chart and references at the bottom of the worksheet as appropriate. Do not exceed 50 words per box. </w:t>
      </w:r>
    </w:p>
    <w:p w14:paraId="11386064" w14:textId="77777777" w:rsidR="00B30CD7" w:rsidRDefault="00B30CD7">
      <w:pPr>
        <w:pStyle w:val="Body"/>
        <w:spacing w:before="100" w:after="100" w:line="240" w:lineRule="auto"/>
      </w:pPr>
    </w:p>
    <w:tbl>
      <w:tblPr>
        <w:tblW w:w="9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80" w:type="dxa"/>
          <w:left w:w="75" w:type="dxa"/>
          <w:bottom w:w="80" w:type="dxa"/>
          <w:right w:w="80" w:type="dxa"/>
        </w:tblCellMar>
        <w:tblLook w:val="04A0" w:firstRow="1" w:lastRow="0" w:firstColumn="1" w:lastColumn="0" w:noHBand="0" w:noVBand="1"/>
      </w:tblPr>
      <w:tblGrid>
        <w:gridCol w:w="2328"/>
        <w:gridCol w:w="2394"/>
        <w:gridCol w:w="1510"/>
        <w:gridCol w:w="1597"/>
        <w:gridCol w:w="1886"/>
      </w:tblGrid>
      <w:tr w:rsidR="00B30CD7" w14:paraId="6C2448CE" w14:textId="77777777">
        <w:trPr>
          <w:trHeight w:val="2061"/>
          <w:tblHeader/>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AD68AB6" w14:textId="77777777" w:rsidR="00B30CD7" w:rsidRDefault="00D0362E">
            <w:pPr>
              <w:pStyle w:val="Body"/>
              <w:jc w:val="center"/>
            </w:pPr>
            <w:r>
              <w:rPr>
                <w:b/>
                <w:bCs/>
                <w:lang w:val="en-US"/>
              </w:rPr>
              <w:t xml:space="preserve">Age Group </w:t>
            </w:r>
          </w:p>
        </w:tc>
        <w:tc>
          <w:tcPr>
            <w:tcW w:w="2777"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3942C4D" w14:textId="77777777" w:rsidR="00B30CD7" w:rsidRDefault="00D0362E">
            <w:pPr>
              <w:jc w:val="center"/>
            </w:pPr>
            <w:r>
              <w:rPr>
                <w:rFonts w:eastAsia="Calibri" w:cs="Calibri"/>
                <w:b/>
                <w:bCs/>
                <w:u w:color="000000"/>
              </w:rPr>
              <w:t>Perception/Cognition of Grief</w:t>
            </w:r>
          </w:p>
        </w:tc>
        <w:tc>
          <w:tcPr>
            <w:tcW w:w="1719"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6746B0C" w14:textId="77777777" w:rsidR="00B30CD7" w:rsidRDefault="00D0362E">
            <w:pPr>
              <w:pStyle w:val="Body"/>
              <w:spacing w:line="240" w:lineRule="auto"/>
              <w:jc w:val="center"/>
            </w:pPr>
            <w:r>
              <w:rPr>
                <w:b/>
                <w:bCs/>
                <w:lang w:val="en-US"/>
              </w:rPr>
              <w:t>Response to Grief</w:t>
            </w:r>
          </w:p>
        </w:tc>
        <w:tc>
          <w:tcPr>
            <w:tcW w:w="1613"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B3BACD5" w14:textId="77777777" w:rsidR="00B30CD7" w:rsidRDefault="00D0362E">
            <w:pPr>
              <w:pStyle w:val="Body"/>
              <w:spacing w:line="240" w:lineRule="auto"/>
              <w:jc w:val="center"/>
              <w:rPr>
                <w:b/>
                <w:bCs/>
              </w:rPr>
            </w:pPr>
            <w:r>
              <w:rPr>
                <w:b/>
                <w:bCs/>
                <w:lang w:val="en-US"/>
              </w:rPr>
              <w:t>Vignette</w:t>
            </w:r>
          </w:p>
          <w:p w14:paraId="6B6262C9" w14:textId="77777777" w:rsidR="00B30CD7" w:rsidRDefault="00D0362E">
            <w:pPr>
              <w:pStyle w:val="Body"/>
              <w:spacing w:line="240" w:lineRule="auto"/>
              <w:jc w:val="center"/>
            </w:pPr>
            <w:r>
              <w:rPr>
                <w:b/>
                <w:bCs/>
                <w:lang w:val="en-US"/>
              </w:rPr>
              <w:t>(short example/story of a child’s loss scenario)</w:t>
            </w:r>
          </w:p>
        </w:tc>
        <w:tc>
          <w:tcPr>
            <w:tcW w:w="1968"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38749927" w14:textId="77777777" w:rsidR="00B30CD7" w:rsidRDefault="00D0362E">
            <w:pPr>
              <w:pStyle w:val="Body"/>
              <w:spacing w:line="240" w:lineRule="auto"/>
              <w:jc w:val="center"/>
            </w:pPr>
            <w:r>
              <w:rPr>
                <w:b/>
                <w:bCs/>
                <w:lang w:val="en-US"/>
              </w:rPr>
              <w:t xml:space="preserve">Developmentally Appropriate Counseling Interventions </w:t>
            </w:r>
            <w:r>
              <w:rPr>
                <w:b/>
                <w:bCs/>
                <w:color w:val="auto"/>
                <w:lang w:val="en-US"/>
              </w:rPr>
              <w:t xml:space="preserve">(including empirically- </w:t>
            </w:r>
            <w:proofErr w:type="gramStart"/>
            <w:r>
              <w:rPr>
                <w:b/>
                <w:bCs/>
                <w:color w:val="auto"/>
                <w:lang w:val="en-US"/>
              </w:rPr>
              <w:t>sound  interventions</w:t>
            </w:r>
            <w:proofErr w:type="gramEnd"/>
            <w:r>
              <w:rPr>
                <w:b/>
                <w:bCs/>
                <w:color w:val="auto"/>
                <w:lang w:val="en-US"/>
              </w:rPr>
              <w:t xml:space="preserve"> for this age group)</w:t>
            </w:r>
          </w:p>
        </w:tc>
      </w:tr>
      <w:tr w:rsidR="00B30CD7" w14:paraId="1BA57467" w14:textId="77777777">
        <w:trPr>
          <w:trHeight w:val="2760"/>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09E64B" w14:textId="77777777" w:rsidR="00B30CD7" w:rsidRDefault="00D0362E">
            <w:pPr>
              <w:pStyle w:val="Body"/>
              <w:spacing w:line="240" w:lineRule="auto"/>
              <w:rPr>
                <w:b/>
              </w:rPr>
            </w:pPr>
            <w:r>
              <w:rPr>
                <w:b/>
                <w:lang w:val="en-US"/>
              </w:rPr>
              <w:t>Baby and Toddler</w:t>
            </w:r>
          </w:p>
        </w:tc>
        <w:tc>
          <w:tcPr>
            <w:tcW w:w="2777" w:type="dxa"/>
            <w:tcBorders>
              <w:top w:val="single" w:sz="4" w:space="0" w:color="000000"/>
              <w:left w:val="single" w:sz="4" w:space="0" w:color="000000"/>
              <w:bottom w:val="single" w:sz="4" w:space="0" w:color="000000"/>
              <w:right w:val="single" w:sz="4" w:space="0" w:color="000000"/>
            </w:tcBorders>
            <w:shd w:val="clear" w:color="auto" w:fill="CED7E7"/>
          </w:tcPr>
          <w:p w14:paraId="61D4B4F8" w14:textId="77777777" w:rsidR="00B30CD7" w:rsidRDefault="00D0362E">
            <w:r>
              <w:rPr>
                <w:rFonts w:eastAsia="Calibri" w:cs="Calibri"/>
                <w:u w:color="000000"/>
              </w:rPr>
              <w:t>Does not understand the permanency of grief.</w:t>
            </w:r>
          </w:p>
        </w:tc>
        <w:tc>
          <w:tcPr>
            <w:tcW w:w="1719" w:type="dxa"/>
            <w:tcBorders>
              <w:top w:val="single" w:sz="4" w:space="0" w:color="000000"/>
              <w:left w:val="single" w:sz="4" w:space="0" w:color="000000"/>
              <w:bottom w:val="single" w:sz="4" w:space="0" w:color="000000"/>
              <w:right w:val="single" w:sz="4" w:space="0" w:color="000000"/>
            </w:tcBorders>
            <w:shd w:val="clear" w:color="auto" w:fill="CED7E7"/>
          </w:tcPr>
          <w:p w14:paraId="382F733F" w14:textId="77777777" w:rsidR="00B30CD7" w:rsidRDefault="00D0362E">
            <w:pPr>
              <w:pStyle w:val="Body"/>
              <w:spacing w:line="240" w:lineRule="auto"/>
            </w:pPr>
            <w:r>
              <w:rPr>
                <w:lang w:val="en-US"/>
              </w:rPr>
              <w:t>Excessive crying and yearning to be held.</w:t>
            </w:r>
          </w:p>
          <w:p w14:paraId="0F6519F9" w14:textId="77777777" w:rsidR="00B30CD7" w:rsidRDefault="00B30CD7">
            <w:pPr>
              <w:pStyle w:val="Body"/>
              <w:spacing w:line="240" w:lineRule="auto"/>
              <w:rPr>
                <w:lang w:val="en-US"/>
              </w:rPr>
            </w:pPr>
          </w:p>
          <w:p w14:paraId="34A21004" w14:textId="77777777" w:rsidR="00B30CD7" w:rsidRDefault="00B30CD7">
            <w:pPr>
              <w:pStyle w:val="Body"/>
              <w:spacing w:line="240" w:lineRule="auto"/>
              <w:rPr>
                <w:lang w:val="en-US"/>
              </w:rPr>
            </w:pPr>
          </w:p>
          <w:p w14:paraId="484D49E3" w14:textId="77777777" w:rsidR="00B30CD7" w:rsidRDefault="00B30CD7">
            <w:pPr>
              <w:pStyle w:val="Body"/>
              <w:spacing w:line="240" w:lineRule="auto"/>
              <w:rPr>
                <w:lang w:val="en-US"/>
              </w:rPr>
            </w:pPr>
          </w:p>
          <w:p w14:paraId="58185A89" w14:textId="77777777" w:rsidR="00B30CD7" w:rsidRDefault="00B30CD7">
            <w:pPr>
              <w:pStyle w:val="Body"/>
              <w:spacing w:line="240" w:lineRule="auto"/>
            </w:pPr>
          </w:p>
        </w:tc>
        <w:tc>
          <w:tcPr>
            <w:tcW w:w="1613" w:type="dxa"/>
            <w:tcBorders>
              <w:top w:val="single" w:sz="4" w:space="0" w:color="000000"/>
              <w:left w:val="single" w:sz="4" w:space="0" w:color="000000"/>
              <w:bottom w:val="single" w:sz="4" w:space="0" w:color="000000"/>
              <w:right w:val="single" w:sz="4" w:space="0" w:color="000000"/>
            </w:tcBorders>
            <w:shd w:val="clear" w:color="auto" w:fill="CED7E7"/>
          </w:tcPr>
          <w:p w14:paraId="39562824" w14:textId="77777777" w:rsidR="00B30CD7" w:rsidRDefault="00D0362E">
            <w:pPr>
              <w:pStyle w:val="Body"/>
              <w:spacing w:line="240" w:lineRule="auto"/>
            </w:pPr>
            <w:r>
              <w:rPr>
                <w:lang w:val="en-US"/>
              </w:rPr>
              <w:t>A baby’s birth mother died during delivery.</w:t>
            </w:r>
          </w:p>
        </w:tc>
        <w:tc>
          <w:tcPr>
            <w:tcW w:w="1968" w:type="dxa"/>
            <w:tcBorders>
              <w:top w:val="single" w:sz="4" w:space="0" w:color="000000"/>
              <w:left w:val="single" w:sz="4" w:space="0" w:color="000000"/>
              <w:bottom w:val="single" w:sz="4" w:space="0" w:color="000000"/>
              <w:right w:val="single" w:sz="4" w:space="0" w:color="000000"/>
            </w:tcBorders>
            <w:shd w:val="clear" w:color="auto" w:fill="CED7E7"/>
          </w:tcPr>
          <w:p w14:paraId="394EB5E9" w14:textId="77777777" w:rsidR="00B30CD7" w:rsidRDefault="00D0362E">
            <w:pPr>
              <w:pStyle w:val="Body"/>
              <w:spacing w:line="240" w:lineRule="auto"/>
            </w:pPr>
            <w:r>
              <w:rPr>
                <w:lang w:val="en-US"/>
              </w:rPr>
              <w:t xml:space="preserve">Counsel the guardians of the baby to be sure to tend to the baby’s need for touch and comfort. </w:t>
            </w:r>
          </w:p>
        </w:tc>
      </w:tr>
      <w:tr w:rsidR="00B30CD7" w14:paraId="6662AE49" w14:textId="77777777">
        <w:trPr>
          <w:trHeight w:val="2760"/>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6F5535" w14:textId="77777777" w:rsidR="00B30CD7" w:rsidRDefault="00D0362E">
            <w:pPr>
              <w:pStyle w:val="Body"/>
              <w:spacing w:line="240" w:lineRule="auto"/>
              <w:rPr>
                <w:b/>
              </w:rPr>
            </w:pPr>
            <w:r>
              <w:rPr>
                <w:b/>
                <w:lang w:val="en-US"/>
              </w:rPr>
              <w:t>Preschool Age</w:t>
            </w:r>
          </w:p>
        </w:tc>
        <w:tc>
          <w:tcPr>
            <w:tcW w:w="2777" w:type="dxa"/>
            <w:tcBorders>
              <w:top w:val="single" w:sz="4" w:space="0" w:color="000000"/>
              <w:left w:val="single" w:sz="4" w:space="0" w:color="000000"/>
              <w:bottom w:val="single" w:sz="4" w:space="0" w:color="000000"/>
              <w:right w:val="single" w:sz="4" w:space="0" w:color="000000"/>
            </w:tcBorders>
            <w:shd w:val="clear" w:color="auto" w:fill="CED7E7"/>
          </w:tcPr>
          <w:p w14:paraId="0B24982A" w14:textId="77777777" w:rsidR="00B30CD7" w:rsidRDefault="00D0362E">
            <w:r>
              <w:t xml:space="preserve">Children tend to believe death is temporary or magical. Happens </w:t>
            </w:r>
            <w:proofErr w:type="spellStart"/>
            <w:r>
              <w:t>over night</w:t>
            </w:r>
            <w:proofErr w:type="spellEnd"/>
            <w:r>
              <w:t xml:space="preserve"> (Kail &amp; Cavanaugh, 2019). Do not fully comprehend the reason to grieve. Death is confusing to them, as they believe it can be reversable.</w:t>
            </w:r>
          </w:p>
        </w:tc>
        <w:tc>
          <w:tcPr>
            <w:tcW w:w="1719" w:type="dxa"/>
            <w:tcBorders>
              <w:top w:val="single" w:sz="4" w:space="0" w:color="000000"/>
              <w:left w:val="single" w:sz="4" w:space="0" w:color="000000"/>
              <w:bottom w:val="single" w:sz="4" w:space="0" w:color="000000"/>
              <w:right w:val="single" w:sz="4" w:space="0" w:color="000000"/>
            </w:tcBorders>
            <w:shd w:val="clear" w:color="auto" w:fill="CED7E7"/>
          </w:tcPr>
          <w:p w14:paraId="15EE48CB" w14:textId="77777777" w:rsidR="00B30CD7" w:rsidRDefault="00D0362E">
            <w:r>
              <w:t xml:space="preserve">Children may feel as if they are the cause of the death in some way, repress, regress, denial, displacement, or wishing the deceased would return </w:t>
            </w:r>
            <w:r>
              <w:lastRenderedPageBreak/>
              <w:t>(Kail &amp; Cavanaugh, 2019).</w:t>
            </w:r>
          </w:p>
        </w:tc>
        <w:tc>
          <w:tcPr>
            <w:tcW w:w="1613" w:type="dxa"/>
            <w:tcBorders>
              <w:top w:val="single" w:sz="4" w:space="0" w:color="000000"/>
              <w:left w:val="single" w:sz="4" w:space="0" w:color="000000"/>
              <w:bottom w:val="single" w:sz="4" w:space="0" w:color="000000"/>
              <w:right w:val="single" w:sz="4" w:space="0" w:color="000000"/>
            </w:tcBorders>
            <w:shd w:val="clear" w:color="auto" w:fill="CED7E7"/>
          </w:tcPr>
          <w:p w14:paraId="716B5CCC" w14:textId="77777777" w:rsidR="00B30CD7" w:rsidRDefault="00D0362E">
            <w:r>
              <w:lastRenderedPageBreak/>
              <w:t>A child’s grandmother has passed away.</w:t>
            </w:r>
          </w:p>
        </w:tc>
        <w:tc>
          <w:tcPr>
            <w:tcW w:w="1968" w:type="dxa"/>
            <w:tcBorders>
              <w:top w:val="single" w:sz="4" w:space="0" w:color="000000"/>
              <w:left w:val="single" w:sz="4" w:space="0" w:color="000000"/>
              <w:bottom w:val="single" w:sz="4" w:space="0" w:color="000000"/>
              <w:right w:val="single" w:sz="4" w:space="0" w:color="000000"/>
            </w:tcBorders>
            <w:shd w:val="clear" w:color="auto" w:fill="CED7E7"/>
          </w:tcPr>
          <w:p w14:paraId="3ED40222" w14:textId="77777777" w:rsidR="00B30CD7" w:rsidRDefault="00D0362E">
            <w:r>
              <w:t xml:space="preserve">Counsel the guardians as to how to explain to the child the process of death and that it is no </w:t>
            </w:r>
            <w:proofErr w:type="spellStart"/>
            <w:proofErr w:type="gramStart"/>
            <w:r>
              <w:t>ones</w:t>
            </w:r>
            <w:proofErr w:type="spellEnd"/>
            <w:proofErr w:type="gramEnd"/>
            <w:r>
              <w:t xml:space="preserve"> fault. Death is a natural process. Do not shield the child from understanding the </w:t>
            </w:r>
            <w:r>
              <w:lastRenderedPageBreak/>
              <w:t>process (Kail &amp; Cavanaugh, 2019). Provide nurturing to the child so they may process the grief.</w:t>
            </w:r>
          </w:p>
        </w:tc>
      </w:tr>
      <w:tr w:rsidR="00B30CD7" w14:paraId="15F02A5D" w14:textId="77777777">
        <w:trPr>
          <w:trHeight w:val="2760"/>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C521D9" w14:textId="77777777" w:rsidR="00B30CD7" w:rsidRDefault="00D0362E">
            <w:pPr>
              <w:pStyle w:val="Body"/>
              <w:spacing w:line="240" w:lineRule="auto"/>
              <w:rPr>
                <w:b/>
              </w:rPr>
            </w:pPr>
            <w:r>
              <w:rPr>
                <w:b/>
                <w:lang w:val="en-US"/>
              </w:rPr>
              <w:lastRenderedPageBreak/>
              <w:t>Grade School Age</w:t>
            </w:r>
          </w:p>
        </w:tc>
        <w:tc>
          <w:tcPr>
            <w:tcW w:w="2777" w:type="dxa"/>
            <w:tcBorders>
              <w:top w:val="single" w:sz="4" w:space="0" w:color="000000"/>
              <w:left w:val="single" w:sz="4" w:space="0" w:color="000000"/>
              <w:bottom w:val="single" w:sz="4" w:space="0" w:color="000000"/>
              <w:right w:val="single" w:sz="4" w:space="0" w:color="000000"/>
            </w:tcBorders>
            <w:shd w:val="clear" w:color="auto" w:fill="CED7E7"/>
          </w:tcPr>
          <w:p w14:paraId="0FB0814A" w14:textId="77777777" w:rsidR="00B30CD7" w:rsidRDefault="00D0362E">
            <w:r>
              <w:t xml:space="preserve">Children begin to understand death is permanent and happens to everyone. Death means no more biological function (Kail &amp; Cavanaugh, 2019). </w:t>
            </w:r>
          </w:p>
        </w:tc>
        <w:tc>
          <w:tcPr>
            <w:tcW w:w="1719" w:type="dxa"/>
            <w:tcBorders>
              <w:top w:val="single" w:sz="4" w:space="0" w:color="000000"/>
              <w:left w:val="single" w:sz="4" w:space="0" w:color="000000"/>
              <w:bottom w:val="single" w:sz="4" w:space="0" w:color="000000"/>
              <w:right w:val="single" w:sz="4" w:space="0" w:color="000000"/>
            </w:tcBorders>
            <w:shd w:val="clear" w:color="auto" w:fill="CED7E7"/>
          </w:tcPr>
          <w:p w14:paraId="015CA650" w14:textId="77777777" w:rsidR="00B30CD7" w:rsidRDefault="00D0362E">
            <w:pPr>
              <w:pStyle w:val="Body"/>
              <w:spacing w:line="240" w:lineRule="auto"/>
              <w:rPr>
                <w:lang w:val="en-US"/>
              </w:rPr>
            </w:pPr>
            <w:r>
              <w:rPr>
                <w:lang w:val="en-US"/>
              </w:rPr>
              <w:t>Children will repress, regress, denial, wishful thinking that the deceased will return. May have problems at school, become angry (Kail &amp; Cavanaugh, 2019).</w:t>
            </w:r>
          </w:p>
          <w:p w14:paraId="5A6507E7" w14:textId="77777777" w:rsidR="00B30CD7" w:rsidRDefault="00B30CD7">
            <w:pPr>
              <w:pStyle w:val="Body"/>
              <w:spacing w:line="240" w:lineRule="auto"/>
              <w:rPr>
                <w:lang w:val="en-US"/>
              </w:rPr>
            </w:pPr>
          </w:p>
          <w:p w14:paraId="70ED15A3" w14:textId="77777777" w:rsidR="00B30CD7" w:rsidRDefault="00B30CD7">
            <w:pPr>
              <w:pStyle w:val="Body"/>
              <w:spacing w:line="240" w:lineRule="auto"/>
              <w:rPr>
                <w:lang w:val="en-US"/>
              </w:rPr>
            </w:pPr>
          </w:p>
          <w:p w14:paraId="52640906" w14:textId="77777777" w:rsidR="00B30CD7" w:rsidRDefault="00B30CD7">
            <w:pPr>
              <w:pStyle w:val="Body"/>
              <w:spacing w:line="240" w:lineRule="auto"/>
              <w:rPr>
                <w:lang w:val="en-US"/>
              </w:rPr>
            </w:pPr>
          </w:p>
          <w:p w14:paraId="62BAF9ED" w14:textId="77777777" w:rsidR="00B30CD7" w:rsidRDefault="00B30CD7">
            <w:pPr>
              <w:pStyle w:val="Body"/>
              <w:spacing w:line="240" w:lineRule="auto"/>
              <w:rPr>
                <w:lang w:val="en-US"/>
              </w:rPr>
            </w:pPr>
          </w:p>
          <w:p w14:paraId="3A12F5A1" w14:textId="77777777" w:rsidR="00B30CD7" w:rsidRDefault="00B30CD7">
            <w:pPr>
              <w:pStyle w:val="Body"/>
              <w:spacing w:line="240" w:lineRule="auto"/>
              <w:rPr>
                <w:lang w:val="en-US"/>
              </w:rPr>
            </w:pPr>
          </w:p>
          <w:p w14:paraId="0465F6FC" w14:textId="77777777" w:rsidR="00B30CD7" w:rsidRDefault="00B30CD7">
            <w:pPr>
              <w:pStyle w:val="Body"/>
              <w:spacing w:line="240" w:lineRule="auto"/>
              <w:rPr>
                <w:lang w:val="en-US"/>
              </w:rPr>
            </w:pPr>
          </w:p>
          <w:p w14:paraId="56C0DEB0" w14:textId="77777777" w:rsidR="00B30CD7" w:rsidRDefault="00B30CD7">
            <w:pPr>
              <w:pStyle w:val="Body"/>
              <w:spacing w:line="240" w:lineRule="auto"/>
              <w:rPr>
                <w:lang w:val="en-US"/>
              </w:rPr>
            </w:pPr>
          </w:p>
          <w:p w14:paraId="402BE82B" w14:textId="77777777" w:rsidR="00B30CD7" w:rsidRDefault="00B30CD7">
            <w:pPr>
              <w:pStyle w:val="Body"/>
              <w:spacing w:line="240" w:lineRule="auto"/>
              <w:rPr>
                <w:lang w:val="en-US"/>
              </w:rPr>
            </w:pPr>
          </w:p>
          <w:p w14:paraId="6F76987A" w14:textId="77777777" w:rsidR="00B30CD7" w:rsidRDefault="00B30CD7">
            <w:pPr>
              <w:pStyle w:val="Body"/>
              <w:spacing w:line="240" w:lineRule="auto"/>
            </w:pPr>
          </w:p>
        </w:tc>
        <w:tc>
          <w:tcPr>
            <w:tcW w:w="1613" w:type="dxa"/>
            <w:tcBorders>
              <w:top w:val="single" w:sz="4" w:space="0" w:color="000000"/>
              <w:left w:val="single" w:sz="4" w:space="0" w:color="000000"/>
              <w:bottom w:val="single" w:sz="4" w:space="0" w:color="000000"/>
              <w:right w:val="single" w:sz="4" w:space="0" w:color="000000"/>
            </w:tcBorders>
            <w:shd w:val="clear" w:color="auto" w:fill="CED7E7"/>
          </w:tcPr>
          <w:p w14:paraId="33C47EE0" w14:textId="77777777" w:rsidR="00B30CD7" w:rsidRDefault="00D0362E">
            <w:r>
              <w:t>A child’s grandmother has passed away.</w:t>
            </w:r>
          </w:p>
        </w:tc>
        <w:tc>
          <w:tcPr>
            <w:tcW w:w="1968" w:type="dxa"/>
            <w:tcBorders>
              <w:top w:val="single" w:sz="4" w:space="0" w:color="000000"/>
              <w:left w:val="single" w:sz="4" w:space="0" w:color="000000"/>
              <w:bottom w:val="single" w:sz="4" w:space="0" w:color="000000"/>
              <w:right w:val="single" w:sz="4" w:space="0" w:color="000000"/>
            </w:tcBorders>
            <w:shd w:val="clear" w:color="auto" w:fill="CED7E7"/>
          </w:tcPr>
          <w:p w14:paraId="14442946" w14:textId="77777777" w:rsidR="00B30CD7" w:rsidRDefault="00D0362E">
            <w:bookmarkStart w:id="0" w:name="__DdeLink__167_996174848"/>
            <w:r>
              <w:t xml:space="preserve">Counsel the guardians to be sure to tend to the child’s needs and grief. </w:t>
            </w:r>
            <w:proofErr w:type="gramStart"/>
            <w:r>
              <w:t>Therapist</w:t>
            </w:r>
            <w:proofErr w:type="gramEnd"/>
            <w:r>
              <w:t xml:space="preserve"> can also work with the child and their grief. Guardians, explain what death means and the deceased will not be coming back. Person centered intervention.</w:t>
            </w:r>
            <w:bookmarkEnd w:id="0"/>
          </w:p>
        </w:tc>
      </w:tr>
      <w:tr w:rsidR="00B30CD7" w14:paraId="64BA9611" w14:textId="77777777">
        <w:trPr>
          <w:trHeight w:val="2760"/>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995F3A6" w14:textId="77777777" w:rsidR="00B30CD7" w:rsidRDefault="00D0362E">
            <w:pPr>
              <w:pStyle w:val="Body"/>
              <w:spacing w:line="240" w:lineRule="auto"/>
              <w:rPr>
                <w:b/>
              </w:rPr>
            </w:pPr>
            <w:r>
              <w:rPr>
                <w:b/>
                <w:lang w:val="en-US"/>
              </w:rPr>
              <w:lastRenderedPageBreak/>
              <w:t>Adolescence/Teenage Years</w:t>
            </w:r>
          </w:p>
        </w:tc>
        <w:tc>
          <w:tcPr>
            <w:tcW w:w="2777" w:type="dxa"/>
            <w:tcBorders>
              <w:top w:val="single" w:sz="4" w:space="0" w:color="000000"/>
              <w:left w:val="single" w:sz="4" w:space="0" w:color="000000"/>
              <w:bottom w:val="single" w:sz="4" w:space="0" w:color="000000"/>
              <w:right w:val="single" w:sz="4" w:space="0" w:color="000000"/>
            </w:tcBorders>
            <w:shd w:val="clear" w:color="auto" w:fill="CED7E7"/>
          </w:tcPr>
          <w:p w14:paraId="48B0F42E" w14:textId="77777777" w:rsidR="00B30CD7" w:rsidRDefault="00D0362E">
            <w:r>
              <w:t>At this age, they have more of a personal experience to death. They understand death and its permanence (Kail &amp; Cavanaugh, 2019).</w:t>
            </w:r>
          </w:p>
        </w:tc>
        <w:tc>
          <w:tcPr>
            <w:tcW w:w="1719" w:type="dxa"/>
            <w:tcBorders>
              <w:top w:val="single" w:sz="4" w:space="0" w:color="000000"/>
              <w:left w:val="single" w:sz="4" w:space="0" w:color="000000"/>
              <w:bottom w:val="single" w:sz="4" w:space="0" w:color="000000"/>
              <w:right w:val="single" w:sz="4" w:space="0" w:color="000000"/>
            </w:tcBorders>
            <w:shd w:val="clear" w:color="auto" w:fill="CED7E7"/>
          </w:tcPr>
          <w:p w14:paraId="4794707D" w14:textId="77777777" w:rsidR="00B30CD7" w:rsidRDefault="00D0362E">
            <w:r>
              <w:t>Chronic illness, enduring guilt, low self-esteem, poor academic performance, substance use, suicidal thinking (Kail &amp; Cavanaugh, 2019).</w:t>
            </w:r>
          </w:p>
        </w:tc>
        <w:tc>
          <w:tcPr>
            <w:tcW w:w="1613" w:type="dxa"/>
            <w:tcBorders>
              <w:top w:val="single" w:sz="4" w:space="0" w:color="000000"/>
              <w:left w:val="single" w:sz="4" w:space="0" w:color="000000"/>
              <w:bottom w:val="single" w:sz="4" w:space="0" w:color="000000"/>
              <w:right w:val="single" w:sz="4" w:space="0" w:color="000000"/>
            </w:tcBorders>
            <w:shd w:val="clear" w:color="auto" w:fill="CED7E7"/>
          </w:tcPr>
          <w:p w14:paraId="24AC34D8" w14:textId="77777777" w:rsidR="00B30CD7" w:rsidRDefault="00D0362E">
            <w:r>
              <w:t>Child’s parent passes away unexpectedly.</w:t>
            </w:r>
          </w:p>
        </w:tc>
        <w:tc>
          <w:tcPr>
            <w:tcW w:w="1968" w:type="dxa"/>
            <w:tcBorders>
              <w:top w:val="single" w:sz="4" w:space="0" w:color="000000"/>
              <w:left w:val="single" w:sz="4" w:space="0" w:color="000000"/>
              <w:bottom w:val="single" w:sz="4" w:space="0" w:color="000000"/>
              <w:right w:val="single" w:sz="4" w:space="0" w:color="000000"/>
            </w:tcBorders>
            <w:shd w:val="clear" w:color="auto" w:fill="CED7E7"/>
          </w:tcPr>
          <w:p w14:paraId="7D73F63E" w14:textId="77777777" w:rsidR="00B30CD7" w:rsidRDefault="00D0362E">
            <w:r>
              <w:t xml:space="preserve">CBT, Person centered therapy. Solution </w:t>
            </w:r>
            <w:proofErr w:type="gramStart"/>
            <w:r>
              <w:t>focused</w:t>
            </w:r>
            <w:proofErr w:type="gramEnd"/>
            <w:r>
              <w:t xml:space="preserve"> </w:t>
            </w:r>
            <w:proofErr w:type="gramStart"/>
            <w:r>
              <w:t>therapy,</w:t>
            </w:r>
            <w:proofErr w:type="gramEnd"/>
            <w:r>
              <w:t xml:space="preserve"> individual psychology. Assisting the child through their grief. Help them establish resilience, hope, and goals.</w:t>
            </w:r>
          </w:p>
        </w:tc>
      </w:tr>
      <w:tr w:rsidR="00B30CD7" w14:paraId="53AAABA7" w14:textId="77777777">
        <w:trPr>
          <w:trHeight w:val="2760"/>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1BF998" w14:textId="77777777" w:rsidR="00B30CD7" w:rsidRDefault="00D0362E">
            <w:pPr>
              <w:pStyle w:val="Body"/>
              <w:spacing w:line="240" w:lineRule="auto"/>
              <w:rPr>
                <w:b/>
                <w:lang w:val="en-US"/>
              </w:rPr>
            </w:pPr>
            <w:r>
              <w:rPr>
                <w:b/>
                <w:lang w:val="en-US"/>
              </w:rPr>
              <w:t>Adulthood</w:t>
            </w:r>
          </w:p>
        </w:tc>
        <w:tc>
          <w:tcPr>
            <w:tcW w:w="2777" w:type="dxa"/>
            <w:tcBorders>
              <w:top w:val="single" w:sz="4" w:space="0" w:color="000000"/>
              <w:left w:val="single" w:sz="4" w:space="0" w:color="000000"/>
              <w:bottom w:val="single" w:sz="4" w:space="0" w:color="000000"/>
              <w:right w:val="single" w:sz="4" w:space="0" w:color="000000"/>
            </w:tcBorders>
            <w:shd w:val="clear" w:color="auto" w:fill="CED7E7"/>
          </w:tcPr>
          <w:p w14:paraId="7D4319E0" w14:textId="77777777" w:rsidR="00B30CD7" w:rsidRDefault="00D0362E">
            <w:r>
              <w:t>Tend to be more intense in their feelings about death. Complicated grief and mental health challenges (Kail &amp; Cavanaugh, 2019).</w:t>
            </w:r>
          </w:p>
        </w:tc>
        <w:tc>
          <w:tcPr>
            <w:tcW w:w="1719" w:type="dxa"/>
            <w:tcBorders>
              <w:top w:val="single" w:sz="4" w:space="0" w:color="000000"/>
              <w:left w:val="single" w:sz="4" w:space="0" w:color="000000"/>
              <w:bottom w:val="single" w:sz="4" w:space="0" w:color="000000"/>
              <w:right w:val="single" w:sz="4" w:space="0" w:color="000000"/>
            </w:tcBorders>
            <w:shd w:val="clear" w:color="auto" w:fill="CED7E7"/>
          </w:tcPr>
          <w:p w14:paraId="1244A887" w14:textId="77777777" w:rsidR="00B30CD7" w:rsidRDefault="00D0362E">
            <w:r>
              <w:t>Tend to feel a need to express their grief. Feel isolated. Emotional pain. Physical pain. It is challenging to move on in life without the deceased around (Kail &amp; Cavanaugh, 2019)</w:t>
            </w:r>
          </w:p>
        </w:tc>
        <w:tc>
          <w:tcPr>
            <w:tcW w:w="1613" w:type="dxa"/>
            <w:tcBorders>
              <w:top w:val="single" w:sz="4" w:space="0" w:color="000000"/>
              <w:left w:val="single" w:sz="4" w:space="0" w:color="000000"/>
              <w:bottom w:val="single" w:sz="4" w:space="0" w:color="000000"/>
              <w:right w:val="single" w:sz="4" w:space="0" w:color="000000"/>
            </w:tcBorders>
            <w:shd w:val="clear" w:color="auto" w:fill="CED7E7"/>
          </w:tcPr>
          <w:p w14:paraId="6F020A26" w14:textId="77777777" w:rsidR="00B30CD7" w:rsidRDefault="00D0362E">
            <w:r>
              <w:t xml:space="preserve">The loss of </w:t>
            </w:r>
            <w:proofErr w:type="spellStart"/>
            <w:proofErr w:type="gramStart"/>
            <w:r>
              <w:t>ones</w:t>
            </w:r>
            <w:proofErr w:type="spellEnd"/>
            <w:proofErr w:type="gramEnd"/>
            <w:r>
              <w:t xml:space="preserve"> partner. </w:t>
            </w:r>
          </w:p>
        </w:tc>
        <w:tc>
          <w:tcPr>
            <w:tcW w:w="1968" w:type="dxa"/>
            <w:tcBorders>
              <w:top w:val="single" w:sz="4" w:space="0" w:color="000000"/>
              <w:left w:val="single" w:sz="4" w:space="0" w:color="000000"/>
              <w:bottom w:val="single" w:sz="4" w:space="0" w:color="000000"/>
              <w:right w:val="single" w:sz="4" w:space="0" w:color="000000"/>
            </w:tcBorders>
            <w:shd w:val="clear" w:color="auto" w:fill="CED7E7"/>
          </w:tcPr>
          <w:p w14:paraId="3C4C3C1B" w14:textId="77777777" w:rsidR="00B30CD7" w:rsidRDefault="00D0362E">
            <w:r>
              <w:t xml:space="preserve">Provide </w:t>
            </w:r>
            <w:proofErr w:type="gramStart"/>
            <w:r>
              <w:t>them</w:t>
            </w:r>
            <w:proofErr w:type="gramEnd"/>
            <w:r>
              <w:t xml:space="preserve"> the opportunity to express their grief. Mindfulness therapy, person centered therapy, CBT.</w:t>
            </w:r>
          </w:p>
        </w:tc>
      </w:tr>
      <w:tr w:rsidR="00B30CD7" w14:paraId="249A14F9" w14:textId="77777777">
        <w:trPr>
          <w:trHeight w:val="2760"/>
          <w:jc w:val="center"/>
        </w:trPr>
        <w:tc>
          <w:tcPr>
            <w:tcW w:w="163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880952" w14:textId="77777777" w:rsidR="00B30CD7" w:rsidRDefault="00D0362E">
            <w:pPr>
              <w:pStyle w:val="Body"/>
              <w:spacing w:line="240" w:lineRule="auto"/>
              <w:rPr>
                <w:b/>
                <w:lang w:val="en-US"/>
              </w:rPr>
            </w:pPr>
            <w:r>
              <w:rPr>
                <w:b/>
                <w:lang w:val="en-US"/>
              </w:rPr>
              <w:lastRenderedPageBreak/>
              <w:t>Late Adulthood</w:t>
            </w:r>
          </w:p>
        </w:tc>
        <w:tc>
          <w:tcPr>
            <w:tcW w:w="2777" w:type="dxa"/>
            <w:tcBorders>
              <w:top w:val="single" w:sz="4" w:space="0" w:color="000000"/>
              <w:left w:val="single" w:sz="4" w:space="0" w:color="000000"/>
              <w:bottom w:val="single" w:sz="4" w:space="0" w:color="000000"/>
              <w:right w:val="single" w:sz="4" w:space="0" w:color="000000"/>
            </w:tcBorders>
            <w:shd w:val="clear" w:color="auto" w:fill="CED7E7"/>
          </w:tcPr>
          <w:p w14:paraId="5EDA7EF5" w14:textId="77777777" w:rsidR="00B30CD7" w:rsidRDefault="00D0362E">
            <w:r>
              <w:t xml:space="preserve">Less anxious about death. May be more accepting of death than any other age group. Still feel the grief non </w:t>
            </w:r>
            <w:proofErr w:type="gramStart"/>
            <w:r>
              <w:t>the less</w:t>
            </w:r>
            <w:proofErr w:type="gramEnd"/>
            <w:r>
              <w:t xml:space="preserve"> (Kail &amp; Cavanaugh, 2019).</w:t>
            </w:r>
          </w:p>
        </w:tc>
        <w:tc>
          <w:tcPr>
            <w:tcW w:w="1719" w:type="dxa"/>
            <w:tcBorders>
              <w:top w:val="single" w:sz="4" w:space="0" w:color="000000"/>
              <w:left w:val="single" w:sz="4" w:space="0" w:color="000000"/>
              <w:bottom w:val="single" w:sz="4" w:space="0" w:color="000000"/>
              <w:right w:val="single" w:sz="4" w:space="0" w:color="000000"/>
            </w:tcBorders>
            <w:shd w:val="clear" w:color="auto" w:fill="CED7E7"/>
          </w:tcPr>
          <w:p w14:paraId="7F45539E" w14:textId="77777777" w:rsidR="00B30CD7" w:rsidRDefault="00D0362E">
            <w:r>
              <w:t xml:space="preserve">Feelings of social isolation and </w:t>
            </w:r>
            <w:proofErr w:type="spellStart"/>
            <w:r>
              <w:t>lonliness</w:t>
            </w:r>
            <w:proofErr w:type="spellEnd"/>
            <w:r>
              <w:t>. May feel guilt (Kail &amp; Cavanaugh, 2019).</w:t>
            </w:r>
          </w:p>
        </w:tc>
        <w:tc>
          <w:tcPr>
            <w:tcW w:w="1613" w:type="dxa"/>
            <w:tcBorders>
              <w:top w:val="single" w:sz="4" w:space="0" w:color="000000"/>
              <w:left w:val="single" w:sz="4" w:space="0" w:color="000000"/>
              <w:bottom w:val="single" w:sz="4" w:space="0" w:color="000000"/>
              <w:right w:val="single" w:sz="4" w:space="0" w:color="000000"/>
            </w:tcBorders>
            <w:shd w:val="clear" w:color="auto" w:fill="CED7E7"/>
          </w:tcPr>
          <w:p w14:paraId="21A5D3B4" w14:textId="77777777" w:rsidR="00B30CD7" w:rsidRDefault="00D0362E">
            <w:r>
              <w:t>Loss of a partner.</w:t>
            </w:r>
          </w:p>
        </w:tc>
        <w:tc>
          <w:tcPr>
            <w:tcW w:w="1968" w:type="dxa"/>
            <w:tcBorders>
              <w:top w:val="single" w:sz="4" w:space="0" w:color="000000"/>
              <w:left w:val="single" w:sz="4" w:space="0" w:color="000000"/>
              <w:bottom w:val="single" w:sz="4" w:space="0" w:color="000000"/>
              <w:right w:val="single" w:sz="4" w:space="0" w:color="000000"/>
            </w:tcBorders>
            <w:shd w:val="clear" w:color="auto" w:fill="CED7E7"/>
          </w:tcPr>
          <w:p w14:paraId="71B76B3E" w14:textId="77777777" w:rsidR="00B30CD7" w:rsidRDefault="00D0362E">
            <w:r>
              <w:t xml:space="preserve">Person centered therapy, Individual psychology, solution focused therapy, Narrative therapy. Give them the opportunity to express their grief and feelings of </w:t>
            </w:r>
            <w:proofErr w:type="spellStart"/>
            <w:r>
              <w:t>lonliness</w:t>
            </w:r>
            <w:proofErr w:type="spellEnd"/>
            <w:r>
              <w:t>, encourage them to get involved with the community.</w:t>
            </w:r>
          </w:p>
        </w:tc>
      </w:tr>
    </w:tbl>
    <w:p w14:paraId="46235A37" w14:textId="77777777" w:rsidR="00B30CD7" w:rsidRDefault="00B30CD7">
      <w:pPr>
        <w:pStyle w:val="Body"/>
        <w:widowControl w:val="0"/>
        <w:spacing w:before="100" w:after="100" w:line="240" w:lineRule="auto"/>
      </w:pPr>
    </w:p>
    <w:p w14:paraId="011A25C5" w14:textId="2DA23C78" w:rsidR="009024FA" w:rsidRPr="009024FA" w:rsidRDefault="009024FA" w:rsidP="009024FA">
      <w:pPr>
        <w:pStyle w:val="Body"/>
        <w:spacing w:line="480" w:lineRule="auto"/>
        <w:jc w:val="center"/>
        <w:rPr>
          <w:b/>
          <w:bCs/>
        </w:rPr>
      </w:pPr>
      <w:r w:rsidRPr="009024FA">
        <w:rPr>
          <w:b/>
          <w:bCs/>
        </w:rPr>
        <w:t>Reflection</w:t>
      </w:r>
    </w:p>
    <w:p w14:paraId="36BDE1BB" w14:textId="77777777" w:rsidR="009024FA" w:rsidRDefault="009024FA" w:rsidP="009024FA">
      <w:pPr>
        <w:pStyle w:val="Body"/>
        <w:spacing w:line="480" w:lineRule="auto"/>
        <w:ind w:firstLine="720"/>
        <w:rPr>
          <w:lang w:val="en-US"/>
        </w:rPr>
      </w:pPr>
      <w:r w:rsidRPr="009024FA">
        <w:rPr>
          <w:lang w:val="en-US"/>
        </w:rPr>
        <w:t>Empathy stands at the heart of effective counseling. For a counselor in training (CIT), developing this quality is both a professional requirement and a personal journey. Reflecting on my experiences and ongoing learning, I recognize how empathy connects deeply with the ethical and professional standards outlined in the CMHC Professional Dispositions. This reflection reveals my growth as a CIT and highlights areas where I can continue to develop.</w:t>
      </w:r>
    </w:p>
    <w:p w14:paraId="35F228C8" w14:textId="6C6DBEEE" w:rsidR="009024FA" w:rsidRPr="009024FA" w:rsidRDefault="009024FA" w:rsidP="009024FA">
      <w:pPr>
        <w:pStyle w:val="Body"/>
        <w:spacing w:line="480" w:lineRule="auto"/>
        <w:ind w:firstLine="720"/>
      </w:pPr>
      <w:r w:rsidRPr="009024FA">
        <w:t xml:space="preserve">Empathy is more than understanding a client’s feelings; it is the ability to genuinely connect and respond with compassion. The CMHC Professional Dispositions emphasize </w:t>
      </w:r>
      <w:r w:rsidRPr="009024FA">
        <w:lastRenderedPageBreak/>
        <w:t>empathy as essential for building trust, respecting client autonomy, and fostering a safe therapeutic environment. These standards require counselors to demonstrate respect, cultural sensitivity, and ethical responsibility, all of which depend on authentic empathetic engagement.</w:t>
      </w:r>
      <w:r>
        <w:t xml:space="preserve"> </w:t>
      </w:r>
      <w:r w:rsidRPr="009024FA">
        <w:t>In my training, I learned that empathy involves active listening and withholding judgment. For example, during a recent practicum session, I worked with a client facing anxiety related to career uncertainty. By focusing on their emotions without rushing to offer solutions, I helped create a space where they felt heard and valued. This experience reinforced how empathy supports ethical practice by honoring the client’s perspective and promoting their well-being.</w:t>
      </w:r>
    </w:p>
    <w:p w14:paraId="39629AF7" w14:textId="5129C61A" w:rsidR="009024FA" w:rsidRPr="009024FA" w:rsidRDefault="009024FA" w:rsidP="009024FA">
      <w:pPr>
        <w:pStyle w:val="Body"/>
        <w:spacing w:line="480" w:lineRule="auto"/>
        <w:ind w:firstLine="720"/>
        <w:rPr>
          <w:lang w:val="en-US"/>
        </w:rPr>
      </w:pPr>
      <w:r w:rsidRPr="009024FA">
        <w:t>My journey as a CIT has shown me that empathy is a skill that grows with intentional practice and self-awareness. Early in training, I sometimes found it challenging to balance empathy with professional boundaries. I worried about becoming too emotionally involved or losing objectivity. Over time, supervision and reflective exercises helped me understand that empathy does not mean absorbing clients’ emotions but rather responding with understanding while maintaining professional limits.</w:t>
      </w:r>
      <w:r>
        <w:t xml:space="preserve"> </w:t>
      </w:r>
      <w:r w:rsidRPr="009024FA">
        <w:rPr>
          <w:lang w:val="en-US"/>
        </w:rPr>
        <w:t>One key moment of growth came when I recognized my own biases and how they could interfere with empathetic connection. For instance, working with clients from diverse cultural backgrounds pushed me to expand my cultural competence. I began to appreciate how empathy requires not only emotional attunement but also respect for differences in values and experiences. This insight aligns with the CMHC standards that call for cultural humility and ongoing learning.</w:t>
      </w:r>
    </w:p>
    <w:p w14:paraId="65D8A54C" w14:textId="6D17502A" w:rsidR="009024FA" w:rsidRPr="009024FA" w:rsidRDefault="009024FA" w:rsidP="009024FA">
      <w:pPr>
        <w:pStyle w:val="Body"/>
        <w:spacing w:line="480" w:lineRule="auto"/>
      </w:pPr>
      <w:r>
        <w:tab/>
      </w:r>
      <w:r w:rsidRPr="009024FA">
        <w:rPr>
          <w:lang w:val="en-US"/>
        </w:rPr>
        <w:t xml:space="preserve">Despite progress, I see clear areas for further growth. Enhancing my ability to manage emotional responses during difficult sessions remains a priority. Developing stronger skills in self-care will help me sustain empathy without burnout. Additionally, I aim to deepen my understanding of trauma-informed care, which is crucial for empathetic responses to clients with </w:t>
      </w:r>
      <w:r w:rsidRPr="009024FA">
        <w:rPr>
          <w:lang w:val="en-US"/>
        </w:rPr>
        <w:lastRenderedPageBreak/>
        <w:t>complex histories.</w:t>
      </w:r>
      <w:r>
        <w:rPr>
          <w:lang w:val="en-US"/>
        </w:rPr>
        <w:t xml:space="preserve"> </w:t>
      </w:r>
      <w:r w:rsidRPr="009024FA">
        <w:t>Continuing to seek feedback from supervisors and peers will support my development. Engaging in workshops and training focused on empathy and ethical practice will also strengthen my competence. These steps will help me embody the dispositions expected of a professional counselor and serve clients effectively.</w:t>
      </w:r>
    </w:p>
    <w:p w14:paraId="5548CDF1" w14:textId="2D71C833" w:rsidR="00B30CD7" w:rsidRPr="009024FA" w:rsidRDefault="00D0362E" w:rsidP="009024FA">
      <w:pPr>
        <w:pStyle w:val="Body"/>
        <w:spacing w:line="480" w:lineRule="auto"/>
        <w:jc w:val="center"/>
        <w:rPr>
          <w:b/>
          <w:bCs/>
        </w:rPr>
      </w:pPr>
      <w:r w:rsidRPr="009024FA">
        <w:rPr>
          <w:b/>
          <w:bCs/>
        </w:rPr>
        <w:t>References</w:t>
      </w:r>
    </w:p>
    <w:p w14:paraId="651167D9" w14:textId="77777777" w:rsidR="00B30CD7" w:rsidRDefault="00B30CD7">
      <w:pPr>
        <w:pStyle w:val="Body"/>
        <w:jc w:val="center"/>
      </w:pPr>
    </w:p>
    <w:p w14:paraId="67C9CCBE" w14:textId="77777777" w:rsidR="00B30CD7" w:rsidRDefault="00D0362E">
      <w:pPr>
        <w:pStyle w:val="Body"/>
        <w:spacing w:line="480" w:lineRule="auto"/>
        <w:rPr>
          <w:rFonts w:ascii="Open Sans" w:hAnsi="Open Sans"/>
          <w:color w:val="212121"/>
          <w:sz w:val="21"/>
        </w:rPr>
      </w:pPr>
      <w:r>
        <w:rPr>
          <w:color w:val="212121"/>
        </w:rPr>
        <w:t xml:space="preserve">Kail, R. V., &amp; Cavanaugh, J. C. (2019). </w:t>
      </w:r>
      <w:r>
        <w:rPr>
          <w:i/>
          <w:iCs/>
          <w:color w:val="212121"/>
        </w:rPr>
        <w:t>Human Development: A Life-span View</w:t>
      </w:r>
      <w:r>
        <w:rPr>
          <w:color w:val="212121"/>
        </w:rPr>
        <w:t xml:space="preserve"> (8th Ed). </w:t>
      </w:r>
      <w:r>
        <w:rPr>
          <w:color w:val="212121"/>
        </w:rPr>
        <w:tab/>
        <w:t>Cenegage.</w:t>
      </w:r>
    </w:p>
    <w:sectPr w:rsidR="00B30CD7">
      <w:headerReference w:type="default" r:id="rId11"/>
      <w:footerReference w:type="default" r:id="rId12"/>
      <w:pgSz w:w="12240" w:h="15840"/>
      <w:pgMar w:top="1723" w:right="1440" w:bottom="1440" w:left="1440" w:header="1440" w:footer="72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BF1F4" w14:textId="77777777" w:rsidR="00D0362E" w:rsidRDefault="00D0362E">
      <w:r>
        <w:separator/>
      </w:r>
    </w:p>
  </w:endnote>
  <w:endnote w:type="continuationSeparator" w:id="0">
    <w:p w14:paraId="34795BCD" w14:textId="77777777" w:rsidR="00D0362E" w:rsidRDefault="00D0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1440" w14:textId="77777777" w:rsidR="00B30CD7" w:rsidRDefault="00B30CD7">
    <w:pPr>
      <w:pStyle w:val="Body"/>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FC4C2" w14:textId="77777777" w:rsidR="00B30CD7" w:rsidRDefault="00D0362E">
    <w:pPr>
      <w:pStyle w:val="Body"/>
      <w:jc w:val="center"/>
    </w:pPr>
    <w:r>
      <w:t xml:space="preserve">© </w:t>
    </w:r>
    <w:r>
      <w:rPr>
        <w:lang w:val="en-US"/>
      </w:rPr>
      <w:t>2020.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58731" w14:textId="77777777" w:rsidR="00D0362E" w:rsidRDefault="00D0362E">
      <w:r>
        <w:separator/>
      </w:r>
    </w:p>
  </w:footnote>
  <w:footnote w:type="continuationSeparator" w:id="0">
    <w:p w14:paraId="3C6796D0" w14:textId="77777777" w:rsidR="00D0362E" w:rsidRDefault="00D03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280A" w14:textId="77777777" w:rsidR="00B30CD7" w:rsidRDefault="00D0362E">
    <w:pPr>
      <w:pStyle w:val="Header"/>
      <w:tabs>
        <w:tab w:val="clear" w:pos="9360"/>
        <w:tab w:val="right" w:pos="934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8176" w14:textId="77777777" w:rsidR="00B30CD7" w:rsidRDefault="00D0362E">
    <w:pPr>
      <w:pStyle w:val="Header"/>
    </w:pPr>
    <w:r>
      <w:tab/>
    </w:r>
    <w:r>
      <w:tab/>
    </w:r>
    <w:r>
      <w:fldChar w:fldCharType="begin"/>
    </w:r>
    <w:r>
      <w:instrText>PAGE</w:instrText>
    </w:r>
    <w:r>
      <w:fldChar w:fldCharType="separate"/>
    </w:r>
    <w: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CD7"/>
    <w:rsid w:val="009024FA"/>
    <w:rsid w:val="009B5FCA"/>
    <w:rsid w:val="00B30CD7"/>
    <w:rsid w:val="00D0362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1FD92"/>
  <w15:docId w15:val="{3E9AB0BE-ECA5-4EE4-A631-9BCA4E16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None2">
    <w:name w:val="None 2"/>
    <w:qFormat/>
    <w:rPr>
      <w:lang w:val="en-US"/>
    </w:rPr>
  </w:style>
  <w:style w:type="character" w:styleId="CommentReference">
    <w:name w:val="annotation reference"/>
    <w:basedOn w:val="DefaultParagraphFont"/>
    <w:uiPriority w:val="99"/>
    <w:semiHidden/>
    <w:unhideWhenUsed/>
    <w:qFormat/>
    <w:rsid w:val="00002C86"/>
    <w:rPr>
      <w:sz w:val="16"/>
      <w:szCs w:val="16"/>
    </w:rPr>
  </w:style>
  <w:style w:type="character" w:customStyle="1" w:styleId="CommentTextChar">
    <w:name w:val="Comment Text Char"/>
    <w:basedOn w:val="DefaultParagraphFont"/>
    <w:link w:val="CommentText"/>
    <w:uiPriority w:val="99"/>
    <w:semiHidden/>
    <w:qFormat/>
    <w:rsid w:val="00002C86"/>
  </w:style>
  <w:style w:type="character" w:customStyle="1" w:styleId="CommentSubjectChar">
    <w:name w:val="Comment Subject Char"/>
    <w:basedOn w:val="CommentTextChar"/>
    <w:link w:val="CommentSubject"/>
    <w:uiPriority w:val="99"/>
    <w:semiHidden/>
    <w:qFormat/>
    <w:rsid w:val="00002C86"/>
    <w:rPr>
      <w:b/>
      <w:bCs/>
    </w:rPr>
  </w:style>
  <w:style w:type="character" w:customStyle="1" w:styleId="BalloonTextChar">
    <w:name w:val="Balloon Text Char"/>
    <w:basedOn w:val="DefaultParagraphFont"/>
    <w:link w:val="BalloonText"/>
    <w:uiPriority w:val="99"/>
    <w:semiHidden/>
    <w:qFormat/>
    <w:rsid w:val="00002C86"/>
    <w:rPr>
      <w:rFonts w:ascii="Segoe UI" w:hAnsi="Segoe UI" w:cs="Segoe UI"/>
      <w:sz w:val="18"/>
      <w:szCs w:val="18"/>
    </w:rPr>
  </w:style>
  <w:style w:type="character" w:customStyle="1" w:styleId="FooterChar">
    <w:name w:val="Footer Char"/>
    <w:basedOn w:val="DefaultParagraphFont"/>
    <w:link w:val="Footer"/>
    <w:uiPriority w:val="99"/>
    <w:qFormat/>
    <w:rsid w:val="00DC5126"/>
    <w:rPr>
      <w:sz w:val="24"/>
      <w:szCs w:val="24"/>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Footer">
    <w:name w:val="Header &amp; Footer"/>
    <w:qFormat/>
    <w:pPr>
      <w:tabs>
        <w:tab w:val="right" w:pos="9020"/>
      </w:tabs>
    </w:pPr>
    <w:rPr>
      <w:rFonts w:ascii="Helvetica" w:hAnsi="Helvetica" w:cs="Arial Unicode MS"/>
      <w:color w:val="000000"/>
      <w:sz w:val="24"/>
      <w:szCs w:val="24"/>
    </w:rPr>
  </w:style>
  <w:style w:type="paragraph" w:customStyle="1" w:styleId="Body">
    <w:name w:val="Body"/>
    <w:qFormat/>
    <w:pPr>
      <w:spacing w:line="276" w:lineRule="auto"/>
    </w:pPr>
    <w:rPr>
      <w:rFonts w:cs="Arial Unicode MS"/>
      <w:color w:val="000000"/>
      <w:sz w:val="24"/>
      <w:szCs w:val="24"/>
      <w:u w:color="000000"/>
      <w:lang w:val="de-DE"/>
    </w:rPr>
  </w:style>
  <w:style w:type="paragraph" w:styleId="Header">
    <w:name w:val="header"/>
    <w:basedOn w:val="Normal"/>
    <w:pPr>
      <w:tabs>
        <w:tab w:val="center" w:pos="4680"/>
        <w:tab w:val="right" w:pos="9360"/>
      </w:tabs>
    </w:pPr>
    <w:rPr>
      <w:rFonts w:eastAsia="Times New Roman"/>
      <w:color w:val="000000"/>
      <w:u w:color="000000"/>
    </w:rPr>
  </w:style>
  <w:style w:type="paragraph" w:styleId="CommentText">
    <w:name w:val="annotation text"/>
    <w:basedOn w:val="Normal"/>
    <w:link w:val="CommentTextChar"/>
    <w:uiPriority w:val="99"/>
    <w:semiHidden/>
    <w:unhideWhenUsed/>
    <w:qFormat/>
    <w:rsid w:val="00002C86"/>
    <w:rPr>
      <w:sz w:val="20"/>
      <w:szCs w:val="20"/>
    </w:rPr>
  </w:style>
  <w:style w:type="paragraph" w:styleId="CommentSubject">
    <w:name w:val="annotation subject"/>
    <w:basedOn w:val="CommentText"/>
    <w:link w:val="CommentSubjectChar"/>
    <w:uiPriority w:val="99"/>
    <w:semiHidden/>
    <w:unhideWhenUsed/>
    <w:qFormat/>
    <w:rsid w:val="00002C86"/>
    <w:rPr>
      <w:b/>
      <w:bCs/>
    </w:rPr>
  </w:style>
  <w:style w:type="paragraph" w:styleId="BalloonText">
    <w:name w:val="Balloon Text"/>
    <w:basedOn w:val="Normal"/>
    <w:link w:val="BalloonTextChar"/>
    <w:uiPriority w:val="99"/>
    <w:semiHidden/>
    <w:unhideWhenUsed/>
    <w:qFormat/>
    <w:rsid w:val="00002C86"/>
    <w:rPr>
      <w:rFonts w:ascii="Segoe UI" w:hAnsi="Segoe UI" w:cs="Segoe UI"/>
      <w:sz w:val="18"/>
      <w:szCs w:val="18"/>
    </w:rPr>
  </w:style>
  <w:style w:type="paragraph" w:styleId="Footer">
    <w:name w:val="footer"/>
    <w:basedOn w:val="Normal"/>
    <w:link w:val="FooterChar"/>
    <w:uiPriority w:val="99"/>
    <w:unhideWhenUsed/>
    <w:rsid w:val="00DC5126"/>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C15E76-A9DD-4810-8D17-46725F573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56762D-E6F6-41F1-AF26-89F88C38F4E3}">
  <ds:schemaRefs>
    <ds:schemaRef ds:uri="http://schemas.microsoft.com/sharepoint/v3/contenttype/forms"/>
  </ds:schemaRefs>
</ds:datastoreItem>
</file>

<file path=customXml/itemProps3.xml><?xml version="1.0" encoding="utf-8"?>
<ds:datastoreItem xmlns:ds="http://schemas.openxmlformats.org/officeDocument/2006/customXml" ds:itemID="{C0AAC27A-2105-4024-B9A4-B0A7B6532432}">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1078</Words>
  <Characters>6147</Characters>
  <Application>Microsoft Office Word</Application>
  <DocSecurity>0</DocSecurity>
  <Lines>51</Lines>
  <Paragraphs>14</Paragraphs>
  <ScaleCrop>false</ScaleCrop>
  <Company>Grand Canyon University</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Milliken</dc:creator>
  <dc:description/>
  <cp:lastModifiedBy>Daniel Klaasse</cp:lastModifiedBy>
  <cp:revision>7</cp:revision>
  <dcterms:created xsi:type="dcterms:W3CDTF">2020-09-01T22:02:00Z</dcterms:created>
  <dcterms:modified xsi:type="dcterms:W3CDTF">2026-05-06T18:18:00Z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Grand Canyon University</vt:lpwstr>
  </property>
  <property fmtid="{D5CDD505-2E9C-101B-9397-08002B2CF9AE}" pid="4" name="ComplianceAssetId">
    <vt:lpwstr/>
  </property>
  <property fmtid="{D5CDD505-2E9C-101B-9397-08002B2CF9AE}" pid="5" name="ContentTypeId">
    <vt:lpwstr>0x010100911D7BF13958C64483E7E107A08507EA</vt:lpwstr>
  </property>
  <property fmtid="{D5CDD505-2E9C-101B-9397-08002B2CF9AE}" pid="6" name="DocSecurity">
    <vt:i4>0</vt:i4>
  </property>
  <property fmtid="{D5CDD505-2E9C-101B-9397-08002B2CF9AE}" pid="7" name="DocumentBusinessValue">
    <vt:lpwstr>1;#Normal|581d4866-74cc-43f1-bef1-bb304cbfeaa5</vt:lpwstr>
  </property>
  <property fmtid="{D5CDD505-2E9C-101B-9397-08002B2CF9AE}" pid="8" name="DocumentCategory">
    <vt:lpwstr/>
  </property>
  <property fmtid="{D5CDD505-2E9C-101B-9397-08002B2CF9AE}" pid="9" name="DocumentDepartment">
    <vt:lpwstr>3;#Academic Program and Course Development|59abafec-cbf5-4238-a796-a3b74278f4db</vt:lpwstr>
  </property>
  <property fmtid="{D5CDD505-2E9C-101B-9397-08002B2CF9AE}" pid="10" name="DocumentStatus">
    <vt:lpwstr/>
  </property>
  <property fmtid="{D5CDD505-2E9C-101B-9397-08002B2CF9AE}" pid="11" name="DocumentSubject">
    <vt:lpwstr/>
  </property>
  <property fmtid="{D5CDD505-2E9C-101B-9397-08002B2CF9AE}" pid="12" name="DocumentType">
    <vt:lpwstr/>
  </property>
  <property fmtid="{D5CDD505-2E9C-101B-9397-08002B2CF9AE}" pid="13" name="HyperlinksChanged">
    <vt:bool>false</vt:bool>
  </property>
  <property fmtid="{D5CDD505-2E9C-101B-9397-08002B2CF9AE}" pid="14" name="LinksUpToDate">
    <vt:bool>false</vt:bool>
  </property>
  <property fmtid="{D5CDD505-2E9C-101B-9397-08002B2CF9AE}" pid="15" name="Order">
    <vt:i4>14706800</vt:i4>
  </property>
  <property fmtid="{D5CDD505-2E9C-101B-9397-08002B2CF9AE}" pid="16" name="ScaleCrop">
    <vt:bool>false</vt:bool>
  </property>
  <property fmtid="{D5CDD505-2E9C-101B-9397-08002B2CF9AE}" pid="17" name="SecurityClassification">
    <vt:lpwstr>2;#Internal|98311b30-b9e9-4d4f-9f64-0688c0d4a234</vt:lpwstr>
  </property>
  <property fmtid="{D5CDD505-2E9C-101B-9397-08002B2CF9AE}" pid="18" name="ShareDoc">
    <vt:bool>false</vt:bool>
  </property>
  <property fmtid="{D5CDD505-2E9C-101B-9397-08002B2CF9AE}" pid="19" name="TaxKeyword">
    <vt:lpwstr/>
  </property>
  <property fmtid="{D5CDD505-2E9C-101B-9397-08002B2CF9AE}" pid="20" name="TemplateUrl">
    <vt:lpwstr/>
  </property>
  <property fmtid="{D5CDD505-2E9C-101B-9397-08002B2CF9AE}" pid="21" name="xd_ProgID">
    <vt:lpwstr/>
  </property>
</Properties>
</file>